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Gamescape wspiera utalentowaną młodzież w tworzeniu gier i zagadek w oparciu o nowoczesne technologie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już po raz drugi zostało partnerem wspierającym konkursów „Geniallne Miejsca” oraz „GEEK” Gry Edukacyjne Eksperymentalne Komputerowe. Zadaniem konkursowym było przygotowanie gry edukacyjnej lub escape roomu przy użyciu aplikacji.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mieli za zadanie stworzyć grę edukacyjną lub escape room, którego tematem przewodnim będą historie, ciekawostki, legendy, postacie lub miejsca kultu związane z ich miejscem zamieszkania. Powstałe prace konkursowe zostaną włączone do specjalnej mapy, dzięki której będzie można zwiedzać Polskę wirtualnie.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„Jesteśmy pod wrażeniem poziomu kreatywności, zaangażowania i umiejętności technologicznych uczestników konkursów. Cieszy nas, że dzieci i młodzież dostrzegają walor edukacyjny escape roomów i gier miejskich. Grywalizacja i game-based learning są jednymi z najbardziej efektywnych sposobów na uczenie się, a sposób prezentacji informacji w grach i zagadkach potrafi pokazać ukryty potencjał jaki niesie historia i kultura naszych małych ojczyzn. Nowoczesne technologie i mechanizmy psychologiczne obecne w grach i zagadkach umożliwiają użytkownikom większą immersję i zanurzenie się w kontekście, dzięki czemu szkolna wiedza znacznie łatwiej zostaje przyswojona”.</w:t>
      </w:r>
      <w:r>
        <w:rPr>
          <w:rFonts w:ascii="calibri" w:hAnsi="calibri" w:eastAsia="calibri" w:cs="calibri"/>
          <w:sz w:val="24"/>
          <w:szCs w:val="24"/>
        </w:rPr>
        <w:t xml:space="preserve"> – powiedziała Patrycja Curyło, właścicielka Gamescape i projektantka gier edukacyjnych.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Laureaci tegorocznej edycji na szczeblu wojewódzkim będą mogli osobiście zobaczyć, poeksperymentować </w:t>
      </w:r>
    </w:p>
    <w:p>
      <w:r>
        <w:rPr>
          <w:rFonts w:ascii="calibri" w:hAnsi="calibri" w:eastAsia="calibri" w:cs="calibri"/>
          <w:sz w:val="24"/>
          <w:szCs w:val="24"/>
        </w:rPr>
        <w:t xml:space="preserve">i zintegrować się w jednym z 14 pokoi zagadek escape room Kraków. Zwycięskie prace są dostępne na mapie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https://cutt.ly/UMn8Lnv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Wydarzenia zostały objęte honorowym patronatem Ministerstwa Edukacji i Nauki, Polskiej Organizacji Turystycznej i Polskiej Izby Turystyki.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utt.ly/UMn8L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2024-05-17T01:37:21+02:00</dcterms:created>
  <dcterms:modified xsi:type="dcterms:W3CDTF">2024-05-17T01:37:21+02:00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