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Innowacja i rozwój docenione – Gamescape w gronie nominowanych do prestiżowej Nagrody Gospodarczej Województwa Małopolskiego.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- firma z branży escape room, rozrywki i turystyki, została nominowana do tegorocznej Nagrody Gospodarczej Województwa Małopolskiego. To prestiżowe wyróżnienie podkreśla wkład firmy w rozwój gospodarczy regionu oraz jej innowacyjne podejście do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Cyklicznie, od 2009 r. Marszałek Województwa Małopolskiego, w corocznym konkursie, nagradza najlepszych przedsiębiorców z Województwa Małopolskiego. Uhonorowane zostają najlepsze przedsiębiorstwa, które wyróżniają się innowacyjnością, wdrażaniem nowoczesnych rozwiązań oraz aktywizowaniem regionalnej gospodarki, przyczyniając się jednocześnie do rozwoju przedsiębiorczości w naszym województwie.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Nominacja Gamescape jest dowodem na skuteczność strategii firmy łączącej innowacyjność z zaangażowaniem w lokalną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nominacja to dla nas ogromny zaszczyt i motywacja do dalszego rozwoju. Odzwierciedla ona ciężką pracę naszego zespołu i zaufanie, jakim darzą nas klienci</w:t>
      </w:r>
      <w:r>
        <w:rPr>
          <w:rFonts w:ascii="calibri" w:hAnsi="calibri" w:eastAsia="calibri" w:cs="calibri"/>
          <w:sz w:val="24"/>
          <w:szCs w:val="24"/>
        </w:rPr>
        <w:t xml:space="preserve">."- powiedziała Patrycja Curyło,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 gala, podczas której poznamy laureatów nagrody, odbędzie się 19 września br. podczas Wieczoru Małopolski, które odbędzie się w Krynicy Zdroju.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</w:t>
      </w:r>
    </w:p>
    <w:p>
      <w:r>
        <w:rPr>
          <w:rFonts w:ascii="calibri" w:hAnsi="calibri" w:eastAsia="calibri" w:cs="calibri"/>
          <w:sz w:val="24"/>
          <w:szCs w:val="24"/>
        </w:rPr>
        <w:t xml:space="preserve"> z najstarszych w Krakowie. Od ponad 9 lat zespół Gamescape projektuje i tworzy gry miejskie, obiektowe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14 wybudowanych pokoi zagadek, ponad 1300 przeprowadzonych gier miejskich, a z ich oferty skorzystało już 100 tyś. osób. Gamescape jest współautorem m.in. „Filharmonia Escape Room” – prestiżowego projektu organizowanego dla Filharmonii Krakowskiej, a także laureatem projektu Ministerstwa Kultury i Dziedzictwa Narodowego – Galeria Marzeń – zagrajwsztuke.pl, nagrody ODYS 2023 oraz Polskiej Nagrody Innowacyjności 2023.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2026-06-12T08:52:04+02:00</dcterms:created>
  <dcterms:modified xsi:type="dcterms:W3CDTF">2026-06-12T08:52:04+02:00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