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Gamescape wspiera utalentowaną młodzież w tworzeniu gier i zagadek w oparciu o nowoczesne technologie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Gamescape już po raz drugi zostało partnerem wspierającym konkursów „Geniallne Miejsca” oraz „GEEK” Gry Edukacyjne Eksperymentalne Komputerowe. Zadaniem konkursowym było przygotowanie gry edukacyjnej lub escape roomu przy użyciu aplikacji.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mieli za zadanie stworzyć grę edukacyjną lub escape room, którego tematem przewodnim będą historie, ciekawostki, legendy, postacie lub miejsca kultu związane z ich miejscem zamieszkania. Powstałe prace konkursowe zostaną włączone do specjalnej mapy, dzięki której będzie można zwiedzać Polskę wirtualnie.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„Jesteśmy pod wrażeniem poziomu kreatywności, zaangażowania i umiejętności technologicznych uczestników konkursów. Cieszy nas, że dzieci i młodzież dostrzegają walor edukacyjny escape roomów i gier miejskich. Grywalizacja i game-based learning są jednymi z najbardziej efektywnych sposobów na uczenie się, a sposób prezentacji informacji w grach i zagadkach potrafi pokazać ukryty potencjał jaki niesie historia i kultura naszych małych ojczyzn. Nowoczesne technologie i mechanizmy psychologiczne obecne w grach i zagadkach umożliwiają użytkownikom większą immersję i zanurzenie się w kontekście, dzięki czemu szkolna wiedza znacznie łatwiej zostaje przyswojona”.</w:t>
      </w:r>
      <w:r>
        <w:rPr>
          <w:rFonts w:ascii="calibri" w:hAnsi="calibri" w:eastAsia="calibri" w:cs="calibri"/>
          <w:sz w:val="24"/>
          <w:szCs w:val="24"/>
        </w:rPr>
        <w:t xml:space="preserve"> – powiedziała Patrycja Curyło, właścicielka Gamescape i projektantka gier edukacyjnych.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Laureaci tegorocznej edycji na szczeblu wojewódzkim będą mogli osobiście zobaczyć, poeksperymentować </w:t>
      </w:r>
    </w:p>
    <w:p>
      <w:r>
        <w:rPr>
          <w:rFonts w:ascii="calibri" w:hAnsi="calibri" w:eastAsia="calibri" w:cs="calibri"/>
          <w:sz w:val="24"/>
          <w:szCs w:val="24"/>
        </w:rPr>
        <w:t xml:space="preserve">i zintegrować się w jednym z 14 pokoi zagadek escape room Kraków. Zwycięskie prace są dostępne na mapie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https://cutt.ly/UMn8Lnv</w:t>
        </w:r>
      </w:hyperlink>
      <w:r>
        <w:rPr>
          <w:rFonts w:ascii="calibri" w:hAnsi="calibri" w:eastAsia="calibri" w:cs="calibri"/>
          <w:sz w:val="24"/>
          <w:szCs w:val="24"/>
        </w:rPr>
        <w:t xml:space="preserve">. Wydarzenia zostały objęte honorowym patronatem Ministerstwa Edukacji i Nauki, Polskiej Organizacji Turystycznej i Polskiej Izby Turystyki.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utt.ly/UMn8Ln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2026-09-06T18:49:59+02:00</dcterms:created>
  <dcterms:modified xsi:type="dcterms:W3CDTF">2026-09-06T18:49:59+02:00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