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działa wspólnie z siecią punktów informacyjnych InfoKrakow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czerwca firma Gamescape rozpoczęła współpracę z InfoKrakow – odpowiedzialnym za informację turystyczną i kulturalną w Krakowie. Operatorem punktów informacji jest miejska spółka Kraków5020.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Dobra praktyka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porozumienia jest współdziałanie w obszarze budowania i promowania oferty turystyczno-rozrywkowej Krakowa. Kooperacja Gamescape i InfoKrakow jest modelowym przykładem dobrych praktyk, wymiany wiedzy i wspierania przedsiębiorczości w ramach platformy Krakow Network - inicjatywy zrzeszającej instytucje, przedstawicieli podmiotów z branży MICE i przedsiębiorców Małopolski związanych z turystyką, sektorem incentive i rozrywką.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dawna poszukiwałyśmy możliwości dotarcia do potencjalnych klientów w przestrzeni miejskiej Krakowa. Dzięki zaangażowaniu w działania w ramach platformy Krakow Network mogliśmy zbudować porozumienie z InfoKraków – operatorem największej i najbardziej rozpoznawalnej w przestrzeni miasta sieci punktów informacyjnych dla turystów krajowych i zagranicznych. W ten sposób stworzyliśmy rozwiązanie zwiększające zasięg i dostępność naszych usług, a dodatkowo przestrzeń do dzielenia się wiedzą i doświadczeniem z innymi przedsiębiorcami”. </w:t>
      </w:r>
      <w:r>
        <w:rPr>
          <w:rFonts w:ascii="calibri" w:hAnsi="calibri" w:eastAsia="calibri" w:cs="calibri"/>
          <w:sz w:val="24"/>
          <w:szCs w:val="24"/>
        </w:rPr>
        <w:t xml:space="preserve">– powiedziała Elżbieta Zwolak, współwłaścicielka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Rezerwacje i bilety w punktach InfoKrakow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informacji turystycznej będzie można zapoznać się z ofertą Gamescape, wykupić bilety do stacjonarnych pokoi zagadek czy też zrobić rezerwację na jedną z 5 gier miejskich po Krakowie. Sprzedaż biletów i rezerwacji będzie prowadzona za pośrednictwem punktów InfoKrakow w następujących lokalizacjach: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Powiśle 11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św. Jana 2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Szpitalna 25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ul. Józefa 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Sukiennice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os. Zgody 7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InfoKraków Pawilon Wyspiańskiego (concept store Kraków Story).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Sieć InfoKraków</w:t>
      </w:r>
      <w:r>
        <w:rPr>
          <w:rFonts w:ascii="calibri" w:hAnsi="calibri" w:eastAsia="calibri" w:cs="calibri"/>
          <w:sz w:val="24"/>
          <w:szCs w:val="24"/>
        </w:rPr>
        <w:t xml:space="preserve"> została utworzona w 2004 roku, a od 2022 roku działa w ramach struktury organizacyjnej Kraków5020 sp. z o.o. Głównym celem jest prowadzenie całościowego, zintegrowanego systemu informacji turystycznej i kulturalnej. Sieć oferuje kompleksowe usługi zarówno dla turystów krajowych i zagranicznych, jak i dla mieszkańców Krakowa. Prowadzi przy tym działalność gospodarczą celem częściowego samofinansowania. 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www.infokrakow.pl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krak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2026-06-12T08:51:15+02:00</dcterms:created>
  <dcterms:modified xsi:type="dcterms:W3CDTF">2026-06-12T08:51:15+02:00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